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MINISTÉRIO DA CULTURA, PREFEITURA DE BELO HORIZONTE E PETROBRAS </w:t>
      </w:r>
    </w:p>
    <w:p w:rsidR="00000000" w:rsidDel="00000000" w:rsidP="00000000" w:rsidRDefault="00000000" w:rsidRPr="00000000" w14:paraId="00000003">
      <w:pPr>
        <w:widowControl w:val="1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APRESENTAM </w:t>
      </w:r>
    </w:p>
    <w:p w:rsidR="00000000" w:rsidDel="00000000" w:rsidP="00000000" w:rsidRDefault="00000000" w:rsidRPr="00000000" w14:paraId="00000004">
      <w:pPr>
        <w:widowControl w:val="1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center"/>
        <w:rPr/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20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ª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CineBH - Mostra Internacional de Cinema de Belo Horizonte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/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17º Brasil CineMundi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Encontro Internacional de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22 a 27 de setembro de 2026</w:t>
      </w:r>
    </w:p>
    <w:p w:rsidR="00000000" w:rsidDel="00000000" w:rsidP="00000000" w:rsidRDefault="00000000" w:rsidRPr="00000000" w14:paraId="00000008">
      <w:pPr>
        <w:widowControl w:val="1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widowControl w:val="1"/>
        <w:spacing w:after="0" w:before="0" w:line="420" w:lineRule="auto"/>
        <w:jc w:val="center"/>
        <w:rPr>
          <w:rFonts w:ascii="Calibri" w:cs="Calibri" w:eastAsia="Calibri" w:hAnsi="Calibri"/>
          <w:sz w:val="36"/>
          <w:szCs w:val="36"/>
        </w:rPr>
      </w:pPr>
      <w:bookmarkStart w:colFirst="0" w:colLast="0" w:name="_heading=h.pz8roztxid5x" w:id="0"/>
      <w:bookmarkEnd w:id="0"/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20ª CINEBH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REÚNE 17 FILMES PRODUZIDOS EM BH E NA REGIÃO METROPOLITANA NA MOSTRA A CIDADE EM MOVIMENTO </w:t>
      </w:r>
    </w:p>
    <w:p w:rsidR="00000000" w:rsidDel="00000000" w:rsidP="00000000" w:rsidRDefault="00000000" w:rsidRPr="00000000" w14:paraId="0000000B">
      <w:pPr>
        <w:widowControl w:val="1"/>
        <w:spacing w:after="240" w:before="240" w:line="276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Um dos destaques da programação, a Mostra A Cidade em Movimento apresenta “Abecedário da Existência”, seleção organizada em cinco sessões que relacionam cidade, corpo, linguagem, natureza, tecnologia e experiências das periferias</w:t>
      </w:r>
    </w:p>
    <w:p w:rsidR="00000000" w:rsidDel="00000000" w:rsidP="00000000" w:rsidRDefault="00000000" w:rsidRPr="00000000" w14:paraId="0000000C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produção audiovisual independente de Belo Horizonte e da Região Metropolitana ganha espaço na 20ª CineBH – Mostra Internacional de Cinema de Belo Horizonte com a 11ª edição da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A Cidade em Movimento</w:t>
      </w:r>
      <w:r w:rsidDel="00000000" w:rsidR="00000000" w:rsidRPr="00000000">
        <w:rPr>
          <w:sz w:val="20"/>
          <w:szCs w:val="20"/>
          <w:rtl w:val="0"/>
        </w:rPr>
        <w:t xml:space="preserve">. Em 2026, a seleção reúne 17 filmes, entre curtas e longas-metragens, distribuídos em cinco sessões. Com curadoria de Bruna Piantino, o programa recebe o título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“Abecedário da Existência”</w:t>
      </w:r>
      <w:r w:rsidDel="00000000" w:rsidR="00000000" w:rsidRPr="00000000">
        <w:rPr>
          <w:sz w:val="20"/>
          <w:szCs w:val="20"/>
          <w:rtl w:val="0"/>
        </w:rPr>
        <w:t xml:space="preserve"> e parte da cidade-território como campo de experiências, relações, conflitos e transformações.</w:t>
      </w:r>
    </w:p>
    <w:p w:rsidR="00000000" w:rsidDel="00000000" w:rsidP="00000000" w:rsidRDefault="00000000" w:rsidRPr="00000000" w14:paraId="0000000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“A cidade é um território vivo, construído não apenas por suas estruturas, mas pelos corpos, linguagens, afetos, conflitos e diferentes formas de conhecimento que nela circulam. Nesta edição, os filmes nos convidam a perceber Belo Horizonte a partir de diferentes escalas e experiências, das vivências íntimas às forças coletivas que desafiam, reinventam e transformam continuamente a vida urbana”, afirma Bruna Piantino, curadora da Mostra A Cidade em Movimento.</w:t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Os filmes ampliam o olhar sobre a vida urbana para além das estruturas físicas da cidade. Corpo, percepção, linguagem, tecnologia, meio ambiente, ancestralidade e modos de organização coletiva atravessam uma programação que aproxima experiências íntimas de questões sociais e propõe diferentes maneiras de observar Belo Horizonte e as forças que continuamente a transformam.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Organizada em cinco eixos -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Engenharia Reversa da Linguagem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Tecnologia da Existência, O Resgate do Corpo Emocional, A Não Domesticação da Experiência e A Inteligência da Borda</w:t>
      </w:r>
      <w:r w:rsidDel="00000000" w:rsidR="00000000" w:rsidRPr="00000000">
        <w:rPr>
          <w:sz w:val="20"/>
          <w:szCs w:val="20"/>
          <w:rtl w:val="0"/>
        </w:rPr>
        <w:t xml:space="preserve"> -, a mostra coloca em questão comportamentos e discursos socialmente estabelecidos, assim como a relação das sociedades urbanas com a natureza e outras formas de conhecimento. “A cultura da cidade acomoda processos íntimos de adaptação que estão em constante atritamento e movimentação”, afirma a curadora.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primeira sessão,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Engenharia Reversa da Linguagem</w:t>
      </w:r>
      <w:r w:rsidDel="00000000" w:rsidR="00000000" w:rsidRPr="00000000">
        <w:rPr>
          <w:sz w:val="20"/>
          <w:szCs w:val="20"/>
          <w:rtl w:val="0"/>
        </w:rPr>
        <w:t xml:space="preserve">, apresenta o longa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“Como Atravessar Paredes: a História do Centro Cultural Galpão Cine Horto”</w:t>
      </w:r>
      <w:r w:rsidDel="00000000" w:rsidR="00000000" w:rsidRPr="00000000">
        <w:rPr>
          <w:sz w:val="20"/>
          <w:szCs w:val="20"/>
          <w:rtl w:val="0"/>
        </w:rPr>
        <w:t xml:space="preserve"> (70 min), dirigido coletivamente por Chico Pelúcio, Henrique Vertchenko, Marcos Coletta e Rodolfo Magalhães. O documentário recupera a trajetória do centro cultural e de seus núcleos de pesquisa e experimentação, estabelecendo relações entre cinema, teatro e processos de criação. A sessão propõe decodificar a arquitetura e os padrões de uma manifestação artística, compreendendo o espectador como participante da construção de sentidos.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Em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Tecnologia da Existência</w:t>
      </w:r>
      <w:r w:rsidDel="00000000" w:rsidR="00000000" w:rsidRPr="00000000">
        <w:rPr>
          <w:sz w:val="20"/>
          <w:szCs w:val="20"/>
          <w:rtl w:val="0"/>
        </w:rPr>
        <w:t xml:space="preserve">, a relação entre humanidade, técnica e natureza aproxima dois trabalhos de formatos distintos: o curta experimental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“Ouro de Tolo Remix”</w:t>
      </w:r>
      <w:r w:rsidDel="00000000" w:rsidR="00000000" w:rsidRPr="00000000">
        <w:rPr>
          <w:sz w:val="20"/>
          <w:szCs w:val="20"/>
          <w:rtl w:val="0"/>
        </w:rPr>
        <w:t xml:space="preserve"> (4 min), de Gabriel Afonso, e o longa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“Maxita”</w:t>
      </w:r>
      <w:r w:rsidDel="00000000" w:rsidR="00000000" w:rsidRPr="00000000">
        <w:rPr>
          <w:sz w:val="20"/>
          <w:szCs w:val="20"/>
          <w:rtl w:val="0"/>
        </w:rPr>
        <w:t xml:space="preserve"> (64 min), de Mariana Machado e Ana Maria Machado, com participação de Davi Kopenawa e Ailton Krenak. A sessão parte da tecnologia como dimensão inseparável da experiência humana para discutir contradições das sociedades urbanas contemporâneas, especialmente a exploração dos territórios e as ameaças à diversidade de espécies e formas de vida.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terceira sessão,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Resgate do Corpo Emocional</w:t>
      </w:r>
      <w:r w:rsidDel="00000000" w:rsidR="00000000" w:rsidRPr="00000000">
        <w:rPr>
          <w:sz w:val="20"/>
          <w:szCs w:val="20"/>
          <w:rtl w:val="0"/>
        </w:rPr>
        <w:t xml:space="preserve">, volta-se às experiências individuais e às condições sociais que as atravessam.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“Todas as Cores que Eu Já Senti na Vida”</w:t>
      </w:r>
      <w:r w:rsidDel="00000000" w:rsidR="00000000" w:rsidRPr="00000000">
        <w:rPr>
          <w:sz w:val="20"/>
          <w:szCs w:val="20"/>
          <w:rtl w:val="0"/>
        </w:rPr>
        <w:t xml:space="preserve"> (11 min), de Bernardo Franco, aborda precarização do trabalho e autoestima;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“Recaída”</w:t>
      </w:r>
      <w:r w:rsidDel="00000000" w:rsidR="00000000" w:rsidRPr="00000000">
        <w:rPr>
          <w:sz w:val="20"/>
          <w:szCs w:val="20"/>
          <w:rtl w:val="0"/>
        </w:rPr>
        <w:t xml:space="preserve"> (20 min), de Samuel Costa, aproxima sofrimento mental e dependência química;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“Dentro do Meu Peito Mora um Cão”</w:t>
      </w:r>
      <w:r w:rsidDel="00000000" w:rsidR="00000000" w:rsidRPr="00000000">
        <w:rPr>
          <w:sz w:val="20"/>
          <w:szCs w:val="20"/>
          <w:rtl w:val="0"/>
        </w:rPr>
        <w:t xml:space="preserve"> (24 min), de Gabriel Afonso, trata das instabilidades da passagem da juventude à vida adulta e da sobrevivência do artista;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“O Maestro”</w:t>
      </w:r>
      <w:r w:rsidDel="00000000" w:rsidR="00000000" w:rsidRPr="00000000">
        <w:rPr>
          <w:sz w:val="20"/>
          <w:szCs w:val="20"/>
          <w:rtl w:val="0"/>
        </w:rPr>
        <w:t xml:space="preserve"> (23 min), de Vinícius Correia, observa a intimidade, a rotina e a precisão dos gestos. Juntos, os filmes recuperam o corpo e a experiência sensível como formas de relação com o mundo.</w:t>
      </w:r>
    </w:p>
    <w:p w:rsidR="00000000" w:rsidDel="00000000" w:rsidP="00000000" w:rsidRDefault="00000000" w:rsidRPr="00000000" w14:paraId="00000013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Não Domesticação da Experiência</w:t>
      </w:r>
      <w:r w:rsidDel="00000000" w:rsidR="00000000" w:rsidRPr="00000000">
        <w:rPr>
          <w:sz w:val="20"/>
          <w:szCs w:val="20"/>
          <w:rtl w:val="0"/>
        </w:rPr>
        <w:t xml:space="preserve"> reúne cinco filmes atravessados por diferentes formas de enfrentamento às normas e estruturas da vida cotidiana.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“Queremos Praia – Anunciação”</w:t>
      </w:r>
      <w:r w:rsidDel="00000000" w:rsidR="00000000" w:rsidRPr="00000000">
        <w:rPr>
          <w:sz w:val="20"/>
          <w:szCs w:val="20"/>
          <w:rtl w:val="0"/>
        </w:rPr>
        <w:t xml:space="preserve"> (18 min), de Chico Pelúcio, Marcelo Braga e Rodolfo Magalhães, trabalha com imaginação e performance;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“Metamórfike”</w:t>
      </w:r>
      <w:r w:rsidDel="00000000" w:rsidR="00000000" w:rsidRPr="00000000">
        <w:rPr>
          <w:sz w:val="20"/>
          <w:szCs w:val="20"/>
          <w:rtl w:val="0"/>
        </w:rPr>
        <w:t xml:space="preserve"> (15 min), de Lui Nascimento, aproxima-se do surrealismo;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“Sexta”</w:t>
      </w:r>
      <w:r w:rsidDel="00000000" w:rsidR="00000000" w:rsidRPr="00000000">
        <w:rPr>
          <w:sz w:val="20"/>
          <w:szCs w:val="20"/>
          <w:rtl w:val="0"/>
        </w:rPr>
        <w:t xml:space="preserve"> (5 min), de Pedro Cordeiro, questiona as normas do trabalho;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“Bloco Fantasma”</w:t>
      </w:r>
      <w:r w:rsidDel="00000000" w:rsidR="00000000" w:rsidRPr="00000000">
        <w:rPr>
          <w:sz w:val="20"/>
          <w:szCs w:val="20"/>
          <w:rtl w:val="0"/>
        </w:rPr>
        <w:t xml:space="preserve"> (12 min), de Rafael Zorzal, mobiliza realidades paralelas;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“Cordões e Sinos de Além-Mar”</w:t>
      </w:r>
      <w:r w:rsidDel="00000000" w:rsidR="00000000" w:rsidRPr="00000000">
        <w:rPr>
          <w:sz w:val="20"/>
          <w:szCs w:val="20"/>
          <w:rtl w:val="0"/>
        </w:rPr>
        <w:t xml:space="preserve"> (19 min), de Yuji Kodato e Jeremias Brasileiro, estabelece relações com experiências espirituais e ancestrais. Em registros distintos, as obras aproximam corpo, fabulação, trabalho e espiritualidade para tensionar comportamentos e representações estabelecidos.</w:t>
      </w:r>
    </w:p>
    <w:p w:rsidR="00000000" w:rsidDel="00000000" w:rsidP="00000000" w:rsidRDefault="00000000" w:rsidRPr="00000000" w14:paraId="00000015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quinta e última sessão,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Inteligência da Borda</w:t>
      </w:r>
      <w:r w:rsidDel="00000000" w:rsidR="00000000" w:rsidRPr="00000000">
        <w:rPr>
          <w:sz w:val="20"/>
          <w:szCs w:val="20"/>
          <w:rtl w:val="0"/>
        </w:rPr>
        <w:t xml:space="preserve">, dirige o olhar às periferias, aos conflitos urbanos, aos afetos e às estratégias de sobrevivência. Integram o programa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“Um Mar”</w:t>
      </w:r>
      <w:r w:rsidDel="00000000" w:rsidR="00000000" w:rsidRPr="00000000">
        <w:rPr>
          <w:sz w:val="20"/>
          <w:szCs w:val="20"/>
          <w:rtl w:val="0"/>
        </w:rPr>
        <w:t xml:space="preserve"> (18 min), de Duna Dias e Leonardo Augusto; “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Mães do Morro”</w:t>
      </w:r>
      <w:r w:rsidDel="00000000" w:rsidR="00000000" w:rsidRPr="00000000">
        <w:rPr>
          <w:sz w:val="20"/>
          <w:szCs w:val="20"/>
          <w:rtl w:val="0"/>
        </w:rPr>
        <w:t xml:space="preserve"> (20 min), de Isabela Ferreira da Silva;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“Não é Sobre Pastéis”</w:t>
      </w:r>
      <w:r w:rsidDel="00000000" w:rsidR="00000000" w:rsidRPr="00000000">
        <w:rPr>
          <w:sz w:val="20"/>
          <w:szCs w:val="20"/>
          <w:rtl w:val="0"/>
        </w:rPr>
        <w:t xml:space="preserve"> (10 min), de Tiago Ribeiro;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“Do Acaba Mundo ao Pindura Saia” </w:t>
      </w:r>
      <w:r w:rsidDel="00000000" w:rsidR="00000000" w:rsidRPr="00000000">
        <w:rPr>
          <w:sz w:val="20"/>
          <w:szCs w:val="20"/>
          <w:rtl w:val="0"/>
        </w:rPr>
        <w:t xml:space="preserve">(7 min), de Iakima Delamare e Thiago Rosado;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“Nós é Ruim e Mora Longe”</w:t>
      </w:r>
      <w:r w:rsidDel="00000000" w:rsidR="00000000" w:rsidRPr="00000000">
        <w:rPr>
          <w:sz w:val="20"/>
          <w:szCs w:val="20"/>
          <w:rtl w:val="0"/>
        </w:rPr>
        <w:t xml:space="preserve"> (20 min), de Ítalo Almeida. Os filmes observam a cidade a partir de suas bordas e das pessoas que negociam cotidianamente formas de ocupá-la, atravessando violências e tensões sociais, cartografias afetivas, encontros e os “corres” da juventude periférica. Ao percorrer linguagem, tecnologia, corpo, experiência e periferia, “Abecedário da Existência” propõe que pensar Belo Horizonte é também reconhecer as diferentes formas de vida que constroem e transformam a cidade.</w:t>
      </w:r>
    </w:p>
    <w:p w:rsidR="00000000" w:rsidDel="00000000" w:rsidP="00000000" w:rsidRDefault="00000000" w:rsidRPr="00000000" w14:paraId="00000016">
      <w:pPr>
        <w:widowControl w:val="1"/>
        <w:spacing w:after="150" w:before="15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7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18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20</w:t>
      </w:r>
      <w:r w:rsidDel="00000000" w:rsidR="00000000" w:rsidRPr="00000000">
        <w:rPr>
          <w:b w:val="1"/>
          <w:bCs w:val="1"/>
          <w:color w:val="000000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1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1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1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2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2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10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2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Patrocínio: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CAIXA, REDE MATER DEI DE SAÚDE</w:t>
      </w:r>
    </w:p>
    <w:p w:rsidR="00000000" w:rsidDel="00000000" w:rsidP="00000000" w:rsidRDefault="00000000" w:rsidRPr="00000000" w14:paraId="00000024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Parceria: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FUNEMP - FUNDO ESPECIAL DO MINISTÉRIO PÚBLICO DE MINAS GERAIS/ PREFEITURA DE BELO HORIZONTE ATRAVÉS DA SECRETARIA MUNICIPAL DE CULTURA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Apoio: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29">
      <w:pPr>
        <w:shd w:fill="ffffff" w:val="clear"/>
        <w:spacing w:lin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2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80" w:lineRule="auto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2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 Instagram: </w:t>
      </w:r>
      <w:hyperlink r:id="rId7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No Youtube: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 Twitter: </w:t>
      </w:r>
      <w:hyperlink r:id="rId9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    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No Facebook: </w:t>
      </w:r>
      <w:hyperlink r:id="rId10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/</w:t>
      </w:r>
      <w:hyperlink r:id="rId11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 / </w:t>
      </w:r>
      <w:hyperlink r:id="rId12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 LinkedIn: </w:t>
      </w:r>
      <w:hyperlink r:id="rId13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Site oficial do evento:  </w:t>
      </w:r>
      <w:hyperlink r:id="rId14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276" w:lineRule="auto"/>
        <w:jc w:val="center"/>
        <w:rPr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|</w:t>
      </w:r>
      <w:hyperlink r:id="rId15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pBdr>
          <w:top w:space="0" w:sz="0" w:val="nil"/>
          <w:left w:space="0" w:sz="0" w:val="nil"/>
          <w:bottom w:color="00000a" w:space="0" w:sz="4" w:val="single"/>
          <w:right w:space="0" w:sz="0" w:val="nil"/>
          <w:between w:space="0" w:sz="0" w:val="nil"/>
        </w:pBdr>
        <w:shd w:fill="ffffff" w:val="clear"/>
        <w:spacing w:line="276" w:lineRule="auto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-  (31) 3282.2366 -</w:t>
      </w:r>
      <w:hyperlink r:id="rId16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3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3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jc w:val="both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Eliz Ferreira - (11) 991102442 - </w:t>
      </w:r>
      <w:hyperlink r:id="rId17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3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Produção de textos: Marcelo Miranda e Luz Comunicação</w:t>
        <w:tab/>
      </w:r>
    </w:p>
    <w:sectPr>
      <w:headerReference r:id="rId18" w:type="default"/>
      <w:footerReference r:id="rId19" w:type="default"/>
      <w:pgSz w:h="16838" w:w="11906" w:orient="portrait"/>
      <w:pgMar w:bottom="1134" w:top="1418" w:left="1021" w:right="1021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eration Sans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952500" cy="314325"/>
          <wp:effectExtent b="0" l="0" r="0" t="0"/>
          <wp:docPr descr="D:\Trabalho\Universo\Nova_logo_2020\UP_logo2.png" id="24" name="image4.png"/>
          <a:graphic>
            <a:graphicData uri="http://schemas.openxmlformats.org/drawingml/2006/picture">
              <pic:pic>
                <pic:nvPicPr>
                  <pic:cNvPr descr="D:\Trabalho\Universo\Nova_logo_2020\UP_logo2.png" id="0" name="image4.png"/>
                  <pic:cNvPicPr preferRelativeResize="0"/>
                </pic:nvPicPr>
                <pic:blipFill>
                  <a:blip r:embed="rId1"/>
                  <a:srcRect b="35459" l="7310" r="7310" t="340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sz w:val="15"/>
        <w:szCs w:val="15"/>
        <w:rtl w:val="0"/>
      </w:rPr>
      <w:t xml:space="preserve">        Rua Pirapetinga, 567  </w:t>
    </w:r>
    <w:r w:rsidDel="00000000" w:rsidR="00000000" w:rsidRPr="00000000">
      <w:rPr>
        <w:rFonts w:ascii="Noto Sans Symbols" w:cs="Noto Sans Symbols" w:eastAsia="Noto Sans Symbols" w:hAnsi="Noto Sans Symbols"/>
        <w:color w:val="000000"/>
        <w:sz w:val="15"/>
        <w:szCs w:val="15"/>
        <w:rtl w:val="0"/>
      </w:rPr>
      <w:t xml:space="preserve">▪</w:t>
    </w:r>
    <w:r w:rsidDel="00000000" w:rsidR="00000000" w:rsidRPr="00000000">
      <w:rPr>
        <w:color w:val="000000"/>
        <w:sz w:val="15"/>
        <w:szCs w:val="15"/>
        <w:rtl w:val="0"/>
      </w:rPr>
      <w:t xml:space="preserve">  Serra </w:t>
    </w:r>
    <w:r w:rsidDel="00000000" w:rsidR="00000000" w:rsidRPr="00000000">
      <w:rPr>
        <w:rFonts w:ascii="Noto Sans Symbols" w:cs="Noto Sans Symbols" w:eastAsia="Noto Sans Symbols" w:hAnsi="Noto Sans Symbols"/>
        <w:color w:val="000000"/>
        <w:sz w:val="15"/>
        <w:szCs w:val="15"/>
        <w:rtl w:val="0"/>
      </w:rPr>
      <w:t xml:space="preserve">▪</w:t>
    </w:r>
    <w:r w:rsidDel="00000000" w:rsidR="00000000" w:rsidRPr="00000000">
      <w:rPr>
        <w:color w:val="000000"/>
        <w:sz w:val="15"/>
        <w:szCs w:val="15"/>
        <w:rtl w:val="0"/>
      </w:rPr>
      <w:t xml:space="preserve">  Belo Horizonte </w:t>
    </w:r>
    <w:r w:rsidDel="00000000" w:rsidR="00000000" w:rsidRPr="00000000">
      <w:rPr>
        <w:rFonts w:ascii="Noto Sans Symbols" w:cs="Noto Sans Symbols" w:eastAsia="Noto Sans Symbols" w:hAnsi="Noto Sans Symbols"/>
        <w:color w:val="000000"/>
        <w:sz w:val="15"/>
        <w:szCs w:val="15"/>
        <w:rtl w:val="0"/>
      </w:rPr>
      <w:t xml:space="preserve">▪</w:t>
    </w:r>
    <w:r w:rsidDel="00000000" w:rsidR="00000000" w:rsidRPr="00000000">
      <w:rPr>
        <w:color w:val="000000"/>
        <w:sz w:val="15"/>
        <w:szCs w:val="15"/>
        <w:rtl w:val="0"/>
      </w:rPr>
      <w:t xml:space="preserve"> MG </w:t>
    </w:r>
    <w:r w:rsidDel="00000000" w:rsidR="00000000" w:rsidRPr="00000000">
      <w:rPr>
        <w:rFonts w:ascii="Noto Sans Symbols" w:cs="Noto Sans Symbols" w:eastAsia="Noto Sans Symbols" w:hAnsi="Noto Sans Symbols"/>
        <w:color w:val="000000"/>
        <w:sz w:val="15"/>
        <w:szCs w:val="15"/>
        <w:rtl w:val="0"/>
      </w:rPr>
      <w:t xml:space="preserve">▪</w:t>
    </w:r>
    <w:r w:rsidDel="00000000" w:rsidR="00000000" w:rsidRPr="00000000">
      <w:rPr>
        <w:color w:val="000000"/>
        <w:sz w:val="15"/>
        <w:szCs w:val="15"/>
        <w:rtl w:val="0"/>
      </w:rPr>
      <w:t xml:space="preserve"> 30220-150 </w:t>
    </w:r>
    <w:r w:rsidDel="00000000" w:rsidR="00000000" w:rsidRPr="00000000">
      <w:rPr>
        <w:rFonts w:ascii="Noto Sans Symbols" w:cs="Noto Sans Symbols" w:eastAsia="Noto Sans Symbols" w:hAnsi="Noto Sans Symbols"/>
        <w:color w:val="000000"/>
        <w:sz w:val="15"/>
        <w:szCs w:val="15"/>
        <w:rtl w:val="0"/>
      </w:rPr>
      <w:t xml:space="preserve">▪</w:t>
    </w:r>
    <w:r w:rsidDel="00000000" w:rsidR="00000000" w:rsidRPr="00000000">
      <w:rPr>
        <w:color w:val="000000"/>
        <w:sz w:val="15"/>
        <w:szCs w:val="15"/>
        <w:rtl w:val="0"/>
      </w:rPr>
      <w:t xml:space="preserve"> (31) 3282 2366 </w:t>
    </w:r>
    <w:r w:rsidDel="00000000" w:rsidR="00000000" w:rsidRPr="00000000">
      <w:rPr>
        <w:rFonts w:ascii="Noto Sans Symbols" w:cs="Noto Sans Symbols" w:eastAsia="Noto Sans Symbols" w:hAnsi="Noto Sans Symbols"/>
        <w:color w:val="000000"/>
        <w:sz w:val="15"/>
        <w:szCs w:val="15"/>
        <w:rtl w:val="0"/>
      </w:rPr>
      <w:t xml:space="preserve">▪</w:t>
    </w:r>
    <w:r w:rsidDel="00000000" w:rsidR="00000000" w:rsidRPr="00000000">
      <w:rPr>
        <w:color w:val="000000"/>
        <w:sz w:val="15"/>
        <w:szCs w:val="15"/>
        <w:rtl w:val="0"/>
      </w:rPr>
      <w:t xml:space="preserve">  www.cinebh.com.br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Style w:val="Title"/>
      <w:tabs>
        <w:tab w:val="left" w:leader="none" w:pos="3277"/>
        <w:tab w:val="left" w:leader="none" w:pos="6356"/>
      </w:tabs>
      <w:rPr/>
    </w:pPr>
    <w:r w:rsidDel="00000000" w:rsidR="00000000" w:rsidRPr="00000000">
      <w:rPr/>
      <w:drawing>
        <wp:inline distB="0" distT="0" distL="0" distR="0">
          <wp:extent cx="1468755" cy="270510"/>
          <wp:effectExtent b="0" l="0" r="0" t="0"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7630" r="0" t="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 xml:space="preserve">   </w:t>
    </w:r>
    <w:r w:rsidDel="00000000" w:rsidR="00000000" w:rsidRPr="00000000">
      <w:rPr/>
      <w:drawing>
        <wp:inline distB="0" distT="0" distL="0" distR="0">
          <wp:extent cx="1415415" cy="393065"/>
          <wp:effectExtent b="0" l="0" r="0" t="0"/>
          <wp:docPr descr="Interface gráfica do usuário, Texto&#10;&#10;O conteúdo gerado por IA pode estar incorreto." id="23" name="image2.png"/>
          <a:graphic>
            <a:graphicData uri="http://schemas.openxmlformats.org/drawingml/2006/picture">
              <pic:pic>
                <pic:nvPicPr>
                  <pic:cNvPr descr="Interface gráfica do usuário, Text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</w:t>
      <w:tab/>
      <w:t xml:space="preserve">                   </w:t>
    </w:r>
    <w:r w:rsidDel="00000000" w:rsidR="00000000" w:rsidRPr="00000000">
      <w:rPr/>
      <w:drawing>
        <wp:inline distB="0" distT="0" distL="0" distR="0">
          <wp:extent cx="1152525" cy="285750"/>
          <wp:effectExtent b="0" l="0" r="0" t="0"/>
          <wp:docPr id="2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LinkdaInternet" w:customStyle="1">
    <w:name w:val="Link da Internet"/>
    <w:rsid w:val="001F1C92"/>
    <w:rPr>
      <w:color w:val="0000ff"/>
      <w:u w:val="single"/>
    </w:rPr>
  </w:style>
  <w:style w:type="character" w:styleId="TextodebaloChar" w:customStyle="1">
    <w:name w:val="Texto de balão Char"/>
    <w:link w:val="Textodebalo"/>
    <w:qFormat w:val="1"/>
    <w:rsid w:val="00DD28C8"/>
    <w:rPr>
      <w:rFonts w:ascii="Tahoma" w:cs="Tahoma" w:hAnsi="Tahoma"/>
      <w:sz w:val="16"/>
      <w:szCs w:val="16"/>
    </w:rPr>
  </w:style>
  <w:style w:type="character" w:styleId="CabealhoChar" w:customStyle="1">
    <w:name w:val="Cabeçalho Char"/>
    <w:link w:val="Cabealho"/>
    <w:qFormat w:val="1"/>
    <w:rsid w:val="004D0097"/>
    <w:rPr>
      <w:rFonts w:ascii="Arial" w:hAnsi="Arial"/>
      <w:sz w:val="24"/>
      <w:szCs w:val="24"/>
    </w:rPr>
  </w:style>
  <w:style w:type="character" w:styleId="TtuloChar" w:customStyle="1">
    <w:name w:val="Título Char"/>
    <w:basedOn w:val="Fontepargpadro"/>
    <w:link w:val="Ttulo"/>
    <w:uiPriority w:val="1"/>
    <w:qFormat w:val="1"/>
    <w:rsid w:val="00F04DC4"/>
    <w:rPr>
      <w:lang w:eastAsia="en-US" w:val="en-US"/>
    </w:rPr>
  </w:style>
  <w:style w:type="character" w:styleId="CorpodetextoChar" w:customStyle="1">
    <w:name w:val="Corpo de texto Char"/>
    <w:link w:val="Corpodetexto"/>
    <w:qFormat w:val="1"/>
    <w:rsid w:val="006C3F36"/>
    <w:rPr>
      <w:rFonts w:ascii="Calibri" w:cs="Calibri" w:eastAsia="Calibri" w:hAnsi="Calibri"/>
      <w:lang w:eastAsia="en-US" w:val="pt-PT"/>
    </w:rPr>
  </w:style>
  <w:style w:type="character" w:styleId="Link" w:customStyle="1">
    <w:name w:val="Link"/>
    <w:qFormat w:val="1"/>
    <w:rsid w:val="006C3F36"/>
    <w:rPr>
      <w:outline w:val="0"/>
      <w:color w:val="0000ff"/>
      <w:u w:color="0000ff" w:val="single"/>
    </w:rPr>
  </w:style>
  <w:style w:type="character" w:styleId="Hyperlink0" w:customStyle="1">
    <w:name w:val="Hyperlink.0"/>
    <w:basedOn w:val="Link"/>
    <w:qFormat w:val="1"/>
    <w:rsid w:val="006C3F36"/>
    <w:rPr>
      <w:b w:val="1"/>
      <w:bCs w:val="1"/>
      <w:outline w:val="0"/>
      <w:color w:val="0000ff"/>
      <w:u w:color="0000ff" w:val="single"/>
    </w:rPr>
  </w:style>
  <w:style w:type="character" w:styleId="Hyperlink1" w:customStyle="1">
    <w:name w:val="Hyperlink.1"/>
    <w:basedOn w:val="Link"/>
    <w:qFormat w:val="1"/>
    <w:rsid w:val="006C3F36"/>
    <w:rPr>
      <w:outline w:val="0"/>
      <w:color w:val="0000ff"/>
      <w:spacing w:val="0"/>
      <w:u w:color="0000ff" w:val="single"/>
    </w:rPr>
  </w:style>
  <w:style w:type="character" w:styleId="Hyperlink2" w:customStyle="1">
    <w:name w:val="Hyperlink.2"/>
    <w:basedOn w:val="Fontepargpadro"/>
    <w:qFormat w:val="1"/>
    <w:rsid w:val="006C3F36"/>
    <w:rPr>
      <w:outline w:val="0"/>
      <w:color w:val="0000ff"/>
      <w:u w:color="0000ff" w:val="single"/>
    </w:rPr>
  </w:style>
  <w:style w:type="character" w:styleId="Ninguno" w:customStyle="1">
    <w:name w:val="Ninguno"/>
    <w:qFormat w:val="1"/>
    <w:rsid w:val="006C3F36"/>
  </w:style>
  <w:style w:type="character" w:styleId="CorpodetextoChar1" w:customStyle="1">
    <w:name w:val="Corpo de texto Char1"/>
    <w:basedOn w:val="Fontepargpadro"/>
    <w:qFormat w:val="1"/>
    <w:rsid w:val="006C3F36"/>
    <w:rPr>
      <w:rFonts w:ascii="Calibri" w:cs="Calibri" w:eastAsia="Calibri" w:hAnsi="Calibri"/>
      <w:sz w:val="22"/>
      <w:szCs w:val="22"/>
      <w:lang w:eastAsia="en-US" w:val="pt-PT"/>
    </w:rPr>
  </w:style>
  <w:style w:type="character" w:styleId="nfase">
    <w:name w:val="Emphasis"/>
    <w:uiPriority w:val="20"/>
    <w:qFormat w:val="1"/>
    <w:rPr>
      <w:i w:val="1"/>
      <w:iCs w:val="1"/>
    </w:rPr>
  </w:style>
  <w:style w:type="character" w:styleId="nfaseforte" w:customStyle="1">
    <w:name w:val="Ênfase forte"/>
    <w:qFormat w:val="1"/>
    <w:rPr>
      <w:b w:val="1"/>
      <w:bCs w:val="1"/>
    </w:rPr>
  </w:style>
  <w:style w:type="paragraph" w:styleId="Corpodetexto">
    <w:name w:val="Body Text"/>
    <w:basedOn w:val="Normal"/>
    <w:link w:val="CorpodetextoChar"/>
    <w:qFormat w:val="1"/>
    <w:rsid w:val="006C3F36"/>
    <w:rPr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eastAsia="x-none" w:val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 w:val="1"/>
    <w:rsid w:val="00DD28C8"/>
    <w:rPr>
      <w:rFonts w:ascii="Tahoma" w:hAnsi="Tahoma"/>
      <w:sz w:val="16"/>
      <w:szCs w:val="16"/>
      <w:lang w:eastAsia="x-none" w:val="x-none"/>
    </w:rPr>
  </w:style>
  <w:style w:type="paragraph" w:styleId="PargrafodaLista">
    <w:name w:val="List Paragraph"/>
    <w:basedOn w:val="Normal"/>
    <w:uiPriority w:val="34"/>
    <w:qFormat w:val="1"/>
    <w:rsid w:val="00C10EF6"/>
    <w:pPr>
      <w:ind w:left="720"/>
      <w:contextualSpacing w:val="1"/>
    </w:pPr>
  </w:style>
  <w:style w:type="paragraph" w:styleId="Corpo" w:customStyle="1">
    <w:name w:val="Corpo"/>
    <w:qFormat w:val="1"/>
    <w:rsid w:val="006C3F36"/>
    <w:pPr>
      <w:widowControl w:val="1"/>
      <w:suppressAutoHyphens w:val="1"/>
      <w:spacing w:after="200" w:line="276" w:lineRule="auto"/>
    </w:pPr>
    <w:rPr>
      <w:rFonts w:cs="Arial Unicode MS" w:eastAsia="Arial Unicode MS"/>
      <w:color w:val="000000"/>
      <w:u w:color="000000"/>
      <w:lang w:val="pt-BR"/>
    </w:rPr>
  </w:style>
  <w:style w:type="paragraph" w:styleId="CorpoA" w:customStyle="1">
    <w:name w:val="Corpo A"/>
    <w:qFormat w:val="1"/>
    <w:rsid w:val="006C3F36"/>
    <w:pPr>
      <w:widowControl w:val="1"/>
      <w:suppressAutoHyphens w:val="1"/>
      <w:spacing w:after="200" w:line="276" w:lineRule="auto"/>
    </w:pPr>
    <w:rPr>
      <w:rFonts w:ascii="Times New Roman" w:cs="Arial Unicode MS" w:eastAsia="Arial Unicode MS" w:hAnsi="Times New Roman"/>
      <w:color w:val="000000"/>
      <w:spacing w:val="34"/>
      <w:sz w:val="24"/>
      <w:szCs w:val="24"/>
      <w:u w:color="000000"/>
      <w:lang w:val="pt-BR"/>
    </w:rPr>
  </w:style>
  <w:style w:type="paragraph" w:styleId="NormalWeb">
    <w:name w:val="Normal (Web)"/>
    <w:uiPriority w:val="99"/>
    <w:qFormat w:val="1"/>
    <w:rsid w:val="006C3F36"/>
    <w:pPr>
      <w:widowControl w:val="1"/>
      <w:suppressAutoHyphens w:val="1"/>
      <w:spacing w:after="200"/>
    </w:pPr>
    <w:rPr>
      <w:rFonts w:ascii="Times New Roman" w:cs="Times New Roman" w:eastAsia="Times New Roman" w:hAnsi="Times New Roman"/>
      <w:color w:val="000000"/>
      <w:sz w:val="24"/>
      <w:szCs w:val="24"/>
      <w:u w:color="000000"/>
      <w:lang w:val="pt-BR"/>
    </w:rPr>
  </w:style>
  <w:style w:type="table" w:styleId="Tabelacomgrade">
    <w:name w:val="Table Grid"/>
    <w:basedOn w:val="Tabelanormal"/>
    <w:rsid w:val="0075682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ChUm8uOXJMkytTb5sk3UjZdAEA==">CgMxLjAyDmgucHo4cm96dHhpZDV4OAByITFxdHdXajhvT3JTOHdpV2NHT1g2cnNfWDRjZ3psQmUxNQ==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2026-08-20T21:48:00Z</dcterms:created>
  <dc:creator>UP04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