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MINISTÉRIO DA CULTURA, GOVERNO DE MINAS GERAIS E PETROBRAS APRESENTAM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“VAMOS PARA AS PRÁTICAS CONCRETAS”, EXALTA COORDENADORA DO FÓRUM EM LEITURA DA CARTA DE TIRADENTES 2026</w:t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Calibri" w:cs="Calibri" w:eastAsia="Calibri" w:hAnsi="Calibri"/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Concluindo os trabalhos do 4o. Fórum de Tiradentes, aconteceu na tarde desta quarta-feira dia 28 de janeiro a leitura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Carta de Tiradentes 2026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O documento redigido pelos Grupos de Trabalho surge como um chamado público à articulação permanente do setor audiovisual diante dos desafios políticos, institucionais e econômicos nos próximos meses. A leitura foi conduzida pela coordenadora geral do Fórum, Raquel Hallak, que destacou o caráter processual e coletivo do texto.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“A efetividade da Carta de Tiradentes 2026 dependerá do compromisso contínuo de todos nós, profissionais, instituições, redes e territórios representados aqui, em difundir, incorporar e transformar essas proposições em práticas concretas”, afirmou Raquel.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coordenadora ressaltou que o encerramento do Fórum não representa um ponto final, mas o início de uma agenda de trabalho compartilhada. “O Fórum termina hoje, mas o trabalho que ele propõe começa agora”. Ela defendeu a manutenção do diálogo, o fortalecimento das articulações e a ampliação dos espaços de construção coletiva e apontou que os desafios colocados ao audiovisual brasileiro exigem cooperação, inovação, vontade política e coragem para sustentar políticas públicas estruturantes em um cenário de instabilidade e disputas institucionais.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Carta de Tiradentes 2026 parte do reconhecimento dos avanços recentes obtidos com a reconstrução do Ministério da Cultura e da Secretaria do Audiovisual e reconhece a projeção internacional alcançada por filmes brasileiros nos últimos anos. Ao mesmo tempo, o documento alerta para riscos à continuidade dessas políticas, especialmente em ano eleitoral.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texto lido reafirma a necessidade de convergência entre União, estados e municípios para superar assimetrias regionais e garantir um Sistema Nacional do Audiovisual baseado no equilíbrio federativo, na descentralização e no planejamento de longo prazo.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Entre os eixos centrais destacados pela Carta estão o audiovisual como estratégia de Estado, a convergência na gestão do fomento, a regulação das plataformas de vídeo sob demanda (VoD) e a internacionalização do audiovisual brasileiro. O texto defende a aprovação urgente da regulação do streaming, com fortalecimento do Fundo Setorial do Audiovisual, garantia de cotas e visibilidade para obras brasileiras independentes. Aponta ainda a necessidade da ampliação de públicos por meio de políticas de comunicação, formação e valorização da experiência coletiva nas salas de cinema e nos circuitos não comerciais.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documento também enumera prioridades relacionadas à governança e participação social, à aprovação de marcos legais no Congresso, ao aprimoramento das políticas de fomento direto, à inserção da exibição na política pública e à proteção da cadeia de direitos autorais e trabalhistas. Outros pontos são chamados à formação audiovisual,  preservação da memória, qualificação de dados e ampliação do depósito legal obrigatório.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Leia a íntegra da Carta de Tiradentes aqui: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https://universoproducao.nyc3.digitaloceanspaces.com/mct2026/2026/01/Carta-de-Tiradentes-2026_4o-Forum-de-Tiradentes.pdf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SOBRE A MOSTRA DE CINEMA DE TIRADENTES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0"/>
          <w:szCs w:val="20"/>
          <w:rtl w:val="0"/>
        </w:rPr>
        <w:t xml:space="preserve">PLATAFORMA DE LANÇAMENTO DO CINEMA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ind w:right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Maior evento do cinema brasileiro contemporâneo em formação, reflexão, exibição e difusão realizado no país e chega a sua 29ª edição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23 a 31 de janeiro de 2026,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:rsidR="00000000" w:rsidDel="00000000" w:rsidP="00000000" w:rsidRDefault="00000000" w:rsidRPr="00000000" w14:paraId="00000017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CineMundi e atrações artísticas. Toda a programação é gratuita. Mais informações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www.mostratiradentes.com.br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green"/>
          <w:rtl w:val="0"/>
        </w:rPr>
        <w:t xml:space="preserve">link para fotos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8.0000000000000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F">
      <w:pPr>
        <w:spacing w:line="28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Acompanhe o programa Cinema Sem Fronteiras 2026. </w:t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Participe da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Campanha #EufaçoaMostra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Na Web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 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Instagram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   </w:t>
      </w:r>
    </w:p>
    <w:p w:rsidR="00000000" w:rsidDel="00000000" w:rsidP="00000000" w:rsidRDefault="00000000" w:rsidRPr="00000000" w14:paraId="00000023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Youtube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X (Antigo Twitter)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   </w:t>
      </w:r>
    </w:p>
    <w:p w:rsidR="00000000" w:rsidDel="00000000" w:rsidP="00000000" w:rsidRDefault="00000000" w:rsidRPr="00000000" w14:paraId="00000025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Facebook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mostratiradentes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/ </w:t>
      </w: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No LinkedIn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: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8.00000000000006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12121"/>
          <w:sz w:val="20"/>
          <w:szCs w:val="20"/>
          <w:rtl w:val="0"/>
        </w:rPr>
        <w:t xml:space="preserve">29ª MOSTRA DE CINEMA DE TIRADENTES | 23 a 31 de janeiro de 2026 |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PROGRAMAÇÃO GRATUITA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line="28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LEI FEDERAL DE INCENTIVO À CULTURA</w:t>
        <w:br w:type="textWrapping"/>
        <w:t xml:space="preserve">LEI ESTADUAL DE INCENTIVO À CULTURA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 máster: 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PETROBRAS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Patrocínio: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CAIXA, EMBRATUR, CIMENTO NACIONAL, ITAÚ, CSN, CODEMGE / GOVERNO DE MINAS GERAIS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Parceria Cultural e Educacional: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SISTEMA FECOMÉRCIO MG POR MEIO DO SESC E DO SENAC EM MINAS, CASA DA MOSTRA, TCE MG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Apoio: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PREFEITURA DE TIRADENTES, EMBAIXADA DA FRANÇA, INSTITUTO GOETHE, CONECTA, CANAL BRASIL, CINECOLOR, DOT, 02 PÓS, THE END, FESTIVAL SCOPE, FESTIVAL DE MÁLAGA, MÍSTIKA, NAYMOVIE, CTAV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Parceria: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MINISTÉRIO PÚBLICO DE MINAS GERAIS, BH FILM COMMISSION/PREFEITURA DE BELO HORIZONTE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INSTITUTO UNIVERSO CULTURAL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Realização: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UNIVERSO PRODUÇÃO, SECRETARIA DE ESTADO DE CULTURA E TURISMO DE  MINAS GERAIS/GOVERNO DE MINAS GERAIS, MINISTÉRIO DA CULTURA, GOVERNO DO BRASIL -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18" w:top="1701" w:left="1134" w:right="1134" w:header="34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alibri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5460" l="7310" r="7306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www.mostratiradentes.com.br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23950" cy="613410"/>
          <wp:effectExtent b="0" l="0" r="0" t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950" cy="6134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90650" cy="35242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erif" w:cs="Liberation Serif" w:eastAsia="Liberation Serif" w:hAnsi="Liberation Serif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Liberation Serif" w:cs="Liberation Serif" w:eastAsia="Liberation Serif" w:hAnsi="Liberation Serif"/>
      <w:color w:val="243f6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qFormat w:val="1"/>
    <w:pPr>
      <w:spacing w:after="140" w:line="276" w:lineRule="auto"/>
    </w:pPr>
  </w:style>
  <w:style w:type="paragraph" w:styleId="Lista">
    <w:name w:val="List"/>
    <w:basedOn w:val="Corpodetexto"/>
    <w:qFormat w:val="1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  <w:lang w:eastAsia="pt-BR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qFormat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 w:val="1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alto" w:customStyle="1">
    <w:name w:val="alto"/>
    <w:basedOn w:val="Normal"/>
    <w:qFormat w:val="1"/>
    <w:pPr>
      <w:spacing w:after="4" w:before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 w:val="1"/>
  </w:style>
  <w:style w:type="character" w:styleId="CabealhoChar" w:customStyle="1">
    <w:name w:val="Cabeçalho Char"/>
    <w:basedOn w:val="Fontepargpadro"/>
    <w:rPr>
      <w:rFonts w:ascii="Trebuchet MS" w:hAnsi="Trebuchet MS"/>
      <w:sz w:val="24"/>
      <w:szCs w:val="24"/>
    </w:rPr>
  </w:style>
  <w:style w:type="character" w:styleId="LinkdaInternet" w:customStyle="1">
    <w:name w:val="Link da Internet"/>
    <w:basedOn w:val="Fontepargpadro"/>
    <w:rPr>
      <w:color w:val="467886"/>
      <w:u w:val="single"/>
    </w:rPr>
  </w:style>
  <w:style w:type="character" w:styleId="MenoPendente1" w:customStyle="1">
    <w:name w:val="Menção Pendente1"/>
    <w:basedOn w:val="Fontepargpadro"/>
    <w:rPr>
      <w:color w:val="605e5c"/>
      <w:shd w:color="auto" w:fill="e1dfdd" w:val="clear"/>
    </w:rPr>
  </w:style>
  <w:style w:type="character" w:styleId="nfaseforte" w:customStyle="1">
    <w:name w:val="Ênfase forte"/>
    <w:rPr>
      <w:b w:val="1"/>
      <w:bCs w:val="1"/>
    </w:rPr>
  </w:style>
  <w:style w:type="character" w:styleId="Tipodeletrapredefinidodopargrafo" w:customStyle="1">
    <w:name w:val="Tipo de letra predefinido do parágrafo"/>
  </w:style>
  <w:style w:type="character" w:styleId="Ttulo3Char" w:customStyle="1">
    <w:name w:val="Título 3 Char"/>
    <w:basedOn w:val="Fontepargpadro"/>
    <w:rPr>
      <w:rFonts w:ascii="Liberation Serif" w:cs="Arial" w:eastAsia="NSimSun" w:hAnsi="Liberation Serif"/>
      <w:color w:val="243f60"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witter.com/universoprod" TargetMode="External"/><Relationship Id="rId10" Type="http://schemas.openxmlformats.org/officeDocument/2006/relationships/hyperlink" Target="https://www.youtube.com/channel/UCaikc9czwiws39fvlHX-RpA" TargetMode="External"/><Relationship Id="rId13" Type="http://schemas.openxmlformats.org/officeDocument/2006/relationships/hyperlink" Target="https://www.facebook.com/universoproducao/" TargetMode="External"/><Relationship Id="rId12" Type="http://schemas.openxmlformats.org/officeDocument/2006/relationships/hyperlink" Target="https://www.facebook.com/mostratiradent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universoproducao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linkedin.com/company/universo-produ%C3%A7%C3%A3o/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lickr.com/photos/universoproducao/" TargetMode="External"/><Relationship Id="rId8" Type="http://schemas.openxmlformats.org/officeDocument/2006/relationships/hyperlink" Target="http://mostratiradentes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kqBC8Xy7oZjc1pPRrDM+yBFFA==">CgMxLjA4AHIhMXJ4NEpGUUsyLXp1Vk1XZFVHT3Q5S1NOOGdJNVpILUd1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2026-01-20T22:41:00Z</dcterms:created>
  <dc:creator>UP04</dc:creator>
</cp:coreProperties>
</file>